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5935"/>
        <w:gridCol w:w="7015"/>
      </w:tblGrid>
      <w:tr>
        <w:trPr>
          <w:trHeight w:val="1" w:hRule="atLeast"/>
          <w:jc w:val="left"/>
        </w:trPr>
        <w:tc>
          <w:tcPr>
            <w:tcW w:w="129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000000"/>
                <w:spacing w:val="0"/>
                <w:position w:val="0"/>
                <w:sz w:val="22"/>
                <w:shd w:fill="auto" w:val="clear"/>
              </w:rPr>
            </w:pPr>
          </w:p>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Table 5 - Costs information to be published as referred to in Article 5</w:t>
            </w: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Information required under Article 5(a)to (d)</w:t>
            </w:r>
          </w:p>
          <w:p>
            <w:pPr>
              <w:spacing w:before="0" w:after="0" w:line="240"/>
              <w:ind w:right="0" w:left="0" w:firstLine="0"/>
              <w:jc w:val="left"/>
              <w:rPr>
                <w:rFonts w:ascii="Calibri" w:hAnsi="Calibri" w:cs="Calibri" w:eastAsia="Calibri"/>
                <w:spacing w:val="0"/>
                <w:position w:val="0"/>
                <w:sz w:val="22"/>
                <w:shd w:fill="auto" w:val="clear"/>
              </w:rPr>
            </w:pP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Link to a website or other source where further information on costs is available.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As a recognized global provider of financial news and information on a 24-hour basis, providing historical and real time price data, trading news, analyst news and so much more, we believe that the Bloomberg terminal is an excellent data source. We cross reference their information against the data we receive from our multiple liquidity providers. Not only to ensure accuracy in terms of best pricing but also to ensure that the data conveyed to our clients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for their trading and investing decisions are factual and consistent which is of utmost importance to us to achieve service excellence and best practice.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Please see the link below:</w:t>
            </w:r>
          </w:p>
          <w:p>
            <w:pPr>
              <w:spacing w:before="0" w:after="0" w:line="240"/>
              <w:ind w:right="0" w:left="0" w:firstLine="0"/>
              <w:jc w:val="left"/>
              <w:rPr>
                <w:rFonts w:ascii="Calibri" w:hAnsi="Calibri" w:cs="Calibri" w:eastAsia="Calibri"/>
                <w:color w:val="000000"/>
                <w:spacing w:val="0"/>
                <w:position w:val="0"/>
                <w:sz w:val="22"/>
                <w:shd w:fill="auto" w:val="clear"/>
              </w:rPr>
            </w:pP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https://www.bloomberg.com</w:t>
              </w:r>
            </w:hyperlink>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Total value of all rebates, discounts, or other payments offered (as % of total traded value during the reporting period)</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accordance with ESMA, all rebates, discounts and promotions have been restricted and therefore make this section not applicable. Further information regarding the measures proposed and intended outcome can be found in the links provided below.</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https://www.esma.europa.eu/sites/default/files/library/esma35-43-1000_additional_information_on_the_agreed_product_intervention_measures_relating_to_contracts_for_differences_and_binary_options.pdf</w:t>
              </w:r>
            </w:hyperlink>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https://www.esma.europa.eu/sites/default/files/library/esma35-36-1262_technical_qas_product_intervention.pdf</w:t>
              </w:r>
            </w:hyperlink>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5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Total value of all costs (as a % of total traded value during the reporting period volume)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t>
            </w:r>
          </w:p>
        </w:tc>
      </w:tr>
    </w:tbl>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esma.europa.eu/sites/default/files/library/esma35-43-1000_additional_information_on_the_agreed_product_intervention_measures_relating_to_contracts_for_differences_and_binary_options.pdf" Id="docRId1" Type="http://schemas.openxmlformats.org/officeDocument/2006/relationships/hyperlink" /><Relationship Target="numbering.xml" Id="docRId3" Type="http://schemas.openxmlformats.org/officeDocument/2006/relationships/numbering" /><Relationship TargetMode="External" Target="https://www.bloomberg.com/" Id="docRId0" Type="http://schemas.openxmlformats.org/officeDocument/2006/relationships/hyperlink" /><Relationship TargetMode="External" Target="https://www.esma.europa.eu/sites/default/files/library/esma35-36-1262_technical_qas_product_intervention.pdf" Id="docRId2" Type="http://schemas.openxmlformats.org/officeDocument/2006/relationships/hyperlink" /><Relationship Target="styles.xml" Id="docRId4" Type="http://schemas.openxmlformats.org/officeDocument/2006/relationships/styles" /></Relationships>
</file>