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74"/>
        <w:tblW w:w="0" w:type="auto"/>
        <w:tblLayout w:type="fixed"/>
        <w:tblLook w:val="04A0" w:firstRow="1" w:lastRow="0" w:firstColumn="1" w:lastColumn="0" w:noHBand="0" w:noVBand="1"/>
      </w:tblPr>
      <w:tblGrid>
        <w:gridCol w:w="5935"/>
        <w:gridCol w:w="7015"/>
      </w:tblGrid>
      <w:tr w:rsidR="00926B8D" w14:paraId="5F6F586D" w14:textId="77777777" w:rsidTr="00926B8D">
        <w:tc>
          <w:tcPr>
            <w:tcW w:w="12950" w:type="dxa"/>
            <w:gridSpan w:val="2"/>
          </w:tcPr>
          <w:p w14:paraId="7FD7F362" w14:textId="77777777" w:rsidR="00926B8D" w:rsidRDefault="00926B8D" w:rsidP="00926B8D">
            <w:pPr>
              <w:jc w:val="center"/>
              <w:rPr>
                <w:rFonts w:ascii="Calibri" w:hAnsi="Calibri" w:cs="Calibri"/>
                <w:b/>
                <w:bCs/>
                <w:color w:val="000000"/>
              </w:rPr>
            </w:pPr>
          </w:p>
          <w:p w14:paraId="1AA0FDB3" w14:textId="77777777" w:rsidR="00926B8D" w:rsidRDefault="00926B8D" w:rsidP="00926B8D">
            <w:pPr>
              <w:jc w:val="center"/>
              <w:rPr>
                <w:rFonts w:ascii="Calibri" w:hAnsi="Calibri" w:cs="Calibri"/>
                <w:b/>
                <w:bCs/>
                <w:color w:val="000000"/>
              </w:rPr>
            </w:pPr>
            <w:r>
              <w:rPr>
                <w:rFonts w:ascii="Calibri" w:hAnsi="Calibri" w:cs="Calibri"/>
                <w:b/>
                <w:bCs/>
                <w:color w:val="000000"/>
              </w:rPr>
              <w:t>Table 5 - Costs information to be published as referred to in Article 5</w:t>
            </w:r>
          </w:p>
          <w:p w14:paraId="2D3182B0" w14:textId="77777777" w:rsidR="00926B8D" w:rsidRDefault="00926B8D" w:rsidP="00926B8D"/>
        </w:tc>
      </w:tr>
      <w:tr w:rsidR="00926B8D" w14:paraId="53049C7A" w14:textId="77777777" w:rsidTr="00926B8D">
        <w:tc>
          <w:tcPr>
            <w:tcW w:w="5935" w:type="dxa"/>
          </w:tcPr>
          <w:p w14:paraId="4DA03A2B" w14:textId="77777777" w:rsidR="00926B8D" w:rsidRDefault="00926B8D" w:rsidP="00926B8D"/>
        </w:tc>
        <w:tc>
          <w:tcPr>
            <w:tcW w:w="7015" w:type="dxa"/>
          </w:tcPr>
          <w:p w14:paraId="16E46508" w14:textId="77777777" w:rsidR="00926B8D" w:rsidRDefault="00926B8D" w:rsidP="00926B8D"/>
        </w:tc>
      </w:tr>
      <w:tr w:rsidR="00926B8D" w14:paraId="07D44243" w14:textId="77777777" w:rsidTr="00926B8D">
        <w:tc>
          <w:tcPr>
            <w:tcW w:w="5935" w:type="dxa"/>
          </w:tcPr>
          <w:p w14:paraId="72F3D37A" w14:textId="77777777" w:rsidR="00926B8D" w:rsidRDefault="00926B8D" w:rsidP="00926B8D">
            <w:pPr>
              <w:rPr>
                <w:rFonts w:ascii="Calibri" w:hAnsi="Calibri"/>
                <w:color w:val="000000"/>
              </w:rPr>
            </w:pPr>
            <w:r>
              <w:rPr>
                <w:rFonts w:ascii="Calibri" w:hAnsi="Calibri"/>
                <w:color w:val="000000"/>
              </w:rPr>
              <w:t>Information required under Article 5(a)to (d)</w:t>
            </w:r>
          </w:p>
          <w:p w14:paraId="0F04E363" w14:textId="77777777" w:rsidR="00926B8D" w:rsidRDefault="00926B8D" w:rsidP="00926B8D"/>
        </w:tc>
        <w:tc>
          <w:tcPr>
            <w:tcW w:w="7015" w:type="dxa"/>
          </w:tcPr>
          <w:p w14:paraId="49940E61" w14:textId="77777777" w:rsidR="00926B8D" w:rsidRDefault="002673D8" w:rsidP="00926B8D">
            <w:pPr>
              <w:rPr>
                <w:rFonts w:ascii="Calibri" w:hAnsi="Calibri"/>
                <w:color w:val="000000"/>
              </w:rPr>
            </w:pPr>
            <w:r>
              <w:rPr>
                <w:rFonts w:ascii="Calibri" w:hAnsi="Calibri"/>
                <w:color w:val="000000"/>
              </w:rPr>
              <w:t>N/A</w:t>
            </w:r>
          </w:p>
          <w:p w14:paraId="4FF868AB" w14:textId="77777777" w:rsidR="00926B8D" w:rsidRDefault="00926B8D" w:rsidP="00926B8D"/>
        </w:tc>
      </w:tr>
      <w:tr w:rsidR="00926B8D" w14:paraId="6EE8CEC1" w14:textId="77777777" w:rsidTr="00926B8D">
        <w:tc>
          <w:tcPr>
            <w:tcW w:w="5935" w:type="dxa"/>
          </w:tcPr>
          <w:p w14:paraId="74FECB85" w14:textId="77777777" w:rsidR="00926B8D" w:rsidRDefault="00926B8D" w:rsidP="00926B8D">
            <w:pPr>
              <w:rPr>
                <w:rFonts w:ascii="Calibri" w:hAnsi="Calibri"/>
                <w:color w:val="000000"/>
              </w:rPr>
            </w:pPr>
            <w:r>
              <w:rPr>
                <w:rFonts w:ascii="Calibri" w:hAnsi="Calibri"/>
                <w:color w:val="000000"/>
              </w:rPr>
              <w:t>Link to a website or other source where further information on costs is available.</w:t>
            </w:r>
          </w:p>
          <w:p w14:paraId="6DD29C95" w14:textId="77777777" w:rsidR="00926B8D" w:rsidRDefault="00926B8D" w:rsidP="00926B8D">
            <w:pPr>
              <w:rPr>
                <w:rFonts w:ascii="Calibri" w:hAnsi="Calibri"/>
                <w:color w:val="000000"/>
              </w:rPr>
            </w:pPr>
          </w:p>
          <w:p w14:paraId="43CDF64A" w14:textId="77777777" w:rsidR="00926B8D" w:rsidRDefault="00926B8D" w:rsidP="00926B8D"/>
        </w:tc>
        <w:tc>
          <w:tcPr>
            <w:tcW w:w="7015" w:type="dxa"/>
          </w:tcPr>
          <w:p w14:paraId="4F6E5FF4" w14:textId="77777777" w:rsidR="00926B8D" w:rsidRDefault="00926B8D" w:rsidP="00926B8D">
            <w:pPr>
              <w:rPr>
                <w:rFonts w:ascii="Calibri" w:hAnsi="Calibri"/>
                <w:color w:val="000000"/>
              </w:rPr>
            </w:pPr>
            <w:r>
              <w:rPr>
                <w:rFonts w:ascii="Calibri" w:hAnsi="Calibri"/>
                <w:color w:val="000000"/>
              </w:rPr>
              <w:t>As a recognized global provider of financial news and information on a 24-hour basis, providing historical and real time price data, trading news, analyst news and so much more, we believe that the Bloomberg terminal is an excellent data source. We cross reference their information against the data we receive from our multiple liquidity providers. Not only to ensure accuracy in terms of best pricing but also to ensure that the data conveyed to our clients for their trading and investing decisions are factual and consistent which is of utmost importance to us to achieve service excellence and best practice.</w:t>
            </w:r>
          </w:p>
          <w:p w14:paraId="58640322" w14:textId="77777777" w:rsidR="00926B8D" w:rsidRDefault="00926B8D" w:rsidP="00926B8D">
            <w:pPr>
              <w:rPr>
                <w:rFonts w:ascii="Calibri" w:hAnsi="Calibri"/>
                <w:color w:val="000000"/>
              </w:rPr>
            </w:pPr>
          </w:p>
          <w:p w14:paraId="0FD913FC" w14:textId="77777777" w:rsidR="00926B8D" w:rsidRDefault="00926B8D" w:rsidP="00926B8D">
            <w:pPr>
              <w:rPr>
                <w:rFonts w:ascii="Calibri" w:hAnsi="Calibri"/>
                <w:color w:val="000000"/>
              </w:rPr>
            </w:pPr>
            <w:r>
              <w:rPr>
                <w:rFonts w:ascii="Calibri" w:hAnsi="Calibri"/>
                <w:color w:val="000000"/>
              </w:rPr>
              <w:t>Please see the link below:</w:t>
            </w:r>
          </w:p>
          <w:p w14:paraId="15E05BDA" w14:textId="77777777" w:rsidR="00926B8D" w:rsidRDefault="00395D26" w:rsidP="00926B8D">
            <w:pPr>
              <w:rPr>
                <w:rFonts w:ascii="Calibri" w:hAnsi="Calibri"/>
                <w:color w:val="000000"/>
              </w:rPr>
            </w:pPr>
            <w:hyperlink r:id="rId5" w:history="1">
              <w:r w:rsidR="00926B8D" w:rsidRPr="00F10C9A">
                <w:rPr>
                  <w:rStyle w:val="Hyperlink"/>
                  <w:rFonts w:ascii="Calibri" w:hAnsi="Calibri"/>
                </w:rPr>
                <w:t>https://www.bloomberg.com</w:t>
              </w:r>
            </w:hyperlink>
            <w:r w:rsidR="00926B8D">
              <w:rPr>
                <w:rFonts w:ascii="Calibri" w:hAnsi="Calibri"/>
                <w:color w:val="000000"/>
              </w:rPr>
              <w:t xml:space="preserve"> </w:t>
            </w:r>
          </w:p>
          <w:p w14:paraId="5B30819A" w14:textId="77777777" w:rsidR="00926B8D" w:rsidRDefault="00926B8D" w:rsidP="00926B8D"/>
        </w:tc>
      </w:tr>
      <w:tr w:rsidR="00926B8D" w14:paraId="4D5A457D" w14:textId="77777777" w:rsidTr="00926B8D">
        <w:tc>
          <w:tcPr>
            <w:tcW w:w="5935" w:type="dxa"/>
          </w:tcPr>
          <w:p w14:paraId="7450ABD6" w14:textId="77777777" w:rsidR="00926B8D" w:rsidRDefault="00926B8D" w:rsidP="00926B8D">
            <w:pPr>
              <w:rPr>
                <w:rFonts w:ascii="Calibri" w:hAnsi="Calibri"/>
                <w:color w:val="000000"/>
              </w:rPr>
            </w:pPr>
            <w:r>
              <w:rPr>
                <w:rFonts w:ascii="Calibri" w:hAnsi="Calibri"/>
                <w:color w:val="000000"/>
              </w:rPr>
              <w:t>Total value of all rebates, discounts, or other payments offered (as % of total traded value during the reporting period)</w:t>
            </w:r>
          </w:p>
          <w:p w14:paraId="55DD15F8" w14:textId="77777777" w:rsidR="00926B8D" w:rsidRDefault="00926B8D" w:rsidP="00926B8D">
            <w:pPr>
              <w:rPr>
                <w:rFonts w:ascii="Calibri" w:hAnsi="Calibri"/>
                <w:color w:val="000000"/>
              </w:rPr>
            </w:pPr>
          </w:p>
          <w:p w14:paraId="1DA0B438" w14:textId="77777777" w:rsidR="00926B8D" w:rsidRDefault="00926B8D" w:rsidP="00926B8D">
            <w:pPr>
              <w:rPr>
                <w:rFonts w:ascii="Calibri" w:hAnsi="Calibri"/>
                <w:color w:val="000000"/>
              </w:rPr>
            </w:pPr>
          </w:p>
          <w:p w14:paraId="392E9C1D" w14:textId="77777777" w:rsidR="00926B8D" w:rsidRDefault="00926B8D" w:rsidP="00926B8D"/>
        </w:tc>
        <w:tc>
          <w:tcPr>
            <w:tcW w:w="7015" w:type="dxa"/>
          </w:tcPr>
          <w:p w14:paraId="4C27E139" w14:textId="68191283" w:rsidR="00926B8D" w:rsidRDefault="00926B8D" w:rsidP="00926B8D">
            <w:pPr>
              <w:rPr>
                <w:rFonts w:ascii="Calibri" w:hAnsi="Calibri"/>
                <w:color w:val="000000"/>
              </w:rPr>
            </w:pPr>
            <w:r>
              <w:rPr>
                <w:rFonts w:ascii="Calibri" w:hAnsi="Calibri"/>
                <w:color w:val="000000"/>
              </w:rPr>
              <w:t>In accordance with ESMA, all rebates, discounts and promotions have been restricted and therefore make</w:t>
            </w:r>
            <w:r w:rsidR="00395D26">
              <w:rPr>
                <w:rFonts w:ascii="Calibri" w:hAnsi="Calibri"/>
                <w:color w:val="000000"/>
              </w:rPr>
              <w:t>s</w:t>
            </w:r>
            <w:r>
              <w:rPr>
                <w:rFonts w:ascii="Calibri" w:hAnsi="Calibri"/>
                <w:color w:val="000000"/>
              </w:rPr>
              <w:t xml:space="preserve"> this section not applicable. Further information regarding the measures proposed and intended outcome can be found in the links provided belo</w:t>
            </w:r>
            <w:bookmarkStart w:id="0" w:name="_GoBack"/>
            <w:bookmarkEnd w:id="0"/>
            <w:r>
              <w:rPr>
                <w:rFonts w:ascii="Calibri" w:hAnsi="Calibri"/>
                <w:color w:val="000000"/>
              </w:rPr>
              <w:t>w.</w:t>
            </w:r>
          </w:p>
          <w:p w14:paraId="30F815A2" w14:textId="77777777" w:rsidR="00926B8D" w:rsidRDefault="00926B8D" w:rsidP="00926B8D">
            <w:pPr>
              <w:rPr>
                <w:rFonts w:ascii="Calibri" w:hAnsi="Calibri"/>
                <w:color w:val="000000"/>
              </w:rPr>
            </w:pPr>
          </w:p>
          <w:p w14:paraId="3862BE18" w14:textId="77777777" w:rsidR="00926B8D" w:rsidRDefault="00395D26" w:rsidP="00926B8D">
            <w:pPr>
              <w:rPr>
                <w:rFonts w:ascii="Calibri" w:hAnsi="Calibri"/>
                <w:color w:val="000000"/>
              </w:rPr>
            </w:pPr>
            <w:hyperlink r:id="rId6" w:history="1">
              <w:r w:rsidR="00926B8D" w:rsidRPr="00A719CE">
                <w:rPr>
                  <w:rStyle w:val="Hyperlink"/>
                  <w:rFonts w:ascii="Calibri" w:hAnsi="Calibri"/>
                </w:rPr>
                <w:t>https://www.esma.europa.eu/sites/default/files/library/esma35-43-1000_additional_information_on_the_agreed_product_intervention_measures_relating_to_contracts_for_differences_and_binary_options.pdf</w:t>
              </w:r>
            </w:hyperlink>
          </w:p>
          <w:p w14:paraId="3F237B2E" w14:textId="77777777" w:rsidR="00926B8D" w:rsidRDefault="00926B8D" w:rsidP="00926B8D">
            <w:pPr>
              <w:rPr>
                <w:rFonts w:ascii="Calibri" w:hAnsi="Calibri"/>
                <w:color w:val="000000"/>
              </w:rPr>
            </w:pPr>
          </w:p>
          <w:p w14:paraId="4F397318" w14:textId="77777777" w:rsidR="00926B8D" w:rsidRDefault="00395D26" w:rsidP="00926B8D">
            <w:pPr>
              <w:rPr>
                <w:rFonts w:ascii="Calibri" w:hAnsi="Calibri"/>
                <w:color w:val="000000"/>
              </w:rPr>
            </w:pPr>
            <w:hyperlink r:id="rId7" w:history="1">
              <w:r w:rsidR="00926B8D" w:rsidRPr="00A719CE">
                <w:rPr>
                  <w:rStyle w:val="Hyperlink"/>
                  <w:rFonts w:ascii="Calibri" w:hAnsi="Calibri"/>
                </w:rPr>
                <w:t>https://www.esma.europa.eu/sites/default/files/library/esma35-36-1262_technical_qas_product_intervention.pdf</w:t>
              </w:r>
            </w:hyperlink>
          </w:p>
          <w:p w14:paraId="6A014252" w14:textId="77777777" w:rsidR="00926B8D" w:rsidRDefault="00926B8D" w:rsidP="00926B8D"/>
        </w:tc>
      </w:tr>
      <w:tr w:rsidR="00926B8D" w14:paraId="207CA949" w14:textId="77777777" w:rsidTr="00926B8D">
        <w:tc>
          <w:tcPr>
            <w:tcW w:w="5935" w:type="dxa"/>
          </w:tcPr>
          <w:p w14:paraId="1B28B65D" w14:textId="77777777" w:rsidR="00926B8D" w:rsidRDefault="00926B8D" w:rsidP="00926B8D">
            <w:pPr>
              <w:rPr>
                <w:rFonts w:ascii="Calibri" w:hAnsi="Calibri"/>
                <w:color w:val="000000"/>
              </w:rPr>
            </w:pPr>
            <w:r>
              <w:rPr>
                <w:rFonts w:ascii="Calibri" w:hAnsi="Calibri"/>
                <w:color w:val="000000"/>
              </w:rPr>
              <w:t>Total value of all costs (as a % of total traded value during the reporting period volume)</w:t>
            </w:r>
          </w:p>
          <w:p w14:paraId="03E8BB1F" w14:textId="77777777" w:rsidR="00926B8D" w:rsidRDefault="00926B8D" w:rsidP="00926B8D">
            <w:pPr>
              <w:rPr>
                <w:rFonts w:ascii="Calibri" w:hAnsi="Calibri"/>
                <w:color w:val="000000"/>
              </w:rPr>
            </w:pPr>
          </w:p>
          <w:p w14:paraId="125F439F" w14:textId="77777777" w:rsidR="00926B8D" w:rsidRDefault="00926B8D" w:rsidP="00926B8D"/>
        </w:tc>
        <w:tc>
          <w:tcPr>
            <w:tcW w:w="7015" w:type="dxa"/>
          </w:tcPr>
          <w:p w14:paraId="6BB1D671" w14:textId="77777777" w:rsidR="00926B8D" w:rsidRDefault="002673D8" w:rsidP="00926B8D">
            <w:r>
              <w:t>N/A</w:t>
            </w:r>
          </w:p>
        </w:tc>
      </w:tr>
    </w:tbl>
    <w:p w14:paraId="69770F49" w14:textId="77777777" w:rsidR="00175612" w:rsidRDefault="00175612" w:rsidP="00926B8D"/>
    <w:sectPr w:rsidR="00175612" w:rsidSect="005859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28"/>
    <w:rsid w:val="00175612"/>
    <w:rsid w:val="002673D8"/>
    <w:rsid w:val="00395D26"/>
    <w:rsid w:val="00585928"/>
    <w:rsid w:val="00926B8D"/>
    <w:rsid w:val="00B0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9EE7"/>
  <w15:chartTrackingRefBased/>
  <w15:docId w15:val="{BEB81225-C7FE-4C38-83C4-58995B6D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928"/>
    <w:rPr>
      <w:color w:val="0563C1" w:themeColor="hyperlink"/>
      <w:u w:val="single"/>
    </w:rPr>
  </w:style>
  <w:style w:type="character" w:styleId="UnresolvedMention">
    <w:name w:val="Unresolved Mention"/>
    <w:basedOn w:val="DefaultParagraphFont"/>
    <w:uiPriority w:val="99"/>
    <w:semiHidden/>
    <w:unhideWhenUsed/>
    <w:rsid w:val="0058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6768">
      <w:bodyDiv w:val="1"/>
      <w:marLeft w:val="0"/>
      <w:marRight w:val="0"/>
      <w:marTop w:val="0"/>
      <w:marBottom w:val="0"/>
      <w:divBdr>
        <w:top w:val="none" w:sz="0" w:space="0" w:color="auto"/>
        <w:left w:val="none" w:sz="0" w:space="0" w:color="auto"/>
        <w:bottom w:val="none" w:sz="0" w:space="0" w:color="auto"/>
        <w:right w:val="none" w:sz="0" w:space="0" w:color="auto"/>
      </w:divBdr>
    </w:div>
    <w:div w:id="124738974">
      <w:bodyDiv w:val="1"/>
      <w:marLeft w:val="0"/>
      <w:marRight w:val="0"/>
      <w:marTop w:val="0"/>
      <w:marBottom w:val="0"/>
      <w:divBdr>
        <w:top w:val="none" w:sz="0" w:space="0" w:color="auto"/>
        <w:left w:val="none" w:sz="0" w:space="0" w:color="auto"/>
        <w:bottom w:val="none" w:sz="0" w:space="0" w:color="auto"/>
        <w:right w:val="none" w:sz="0" w:space="0" w:color="auto"/>
      </w:divBdr>
    </w:div>
    <w:div w:id="144586644">
      <w:bodyDiv w:val="1"/>
      <w:marLeft w:val="0"/>
      <w:marRight w:val="0"/>
      <w:marTop w:val="0"/>
      <w:marBottom w:val="0"/>
      <w:divBdr>
        <w:top w:val="none" w:sz="0" w:space="0" w:color="auto"/>
        <w:left w:val="none" w:sz="0" w:space="0" w:color="auto"/>
        <w:bottom w:val="none" w:sz="0" w:space="0" w:color="auto"/>
        <w:right w:val="none" w:sz="0" w:space="0" w:color="auto"/>
      </w:divBdr>
    </w:div>
    <w:div w:id="183787317">
      <w:bodyDiv w:val="1"/>
      <w:marLeft w:val="0"/>
      <w:marRight w:val="0"/>
      <w:marTop w:val="0"/>
      <w:marBottom w:val="0"/>
      <w:divBdr>
        <w:top w:val="none" w:sz="0" w:space="0" w:color="auto"/>
        <w:left w:val="none" w:sz="0" w:space="0" w:color="auto"/>
        <w:bottom w:val="none" w:sz="0" w:space="0" w:color="auto"/>
        <w:right w:val="none" w:sz="0" w:space="0" w:color="auto"/>
      </w:divBdr>
    </w:div>
    <w:div w:id="202326766">
      <w:bodyDiv w:val="1"/>
      <w:marLeft w:val="0"/>
      <w:marRight w:val="0"/>
      <w:marTop w:val="0"/>
      <w:marBottom w:val="0"/>
      <w:divBdr>
        <w:top w:val="none" w:sz="0" w:space="0" w:color="auto"/>
        <w:left w:val="none" w:sz="0" w:space="0" w:color="auto"/>
        <w:bottom w:val="none" w:sz="0" w:space="0" w:color="auto"/>
        <w:right w:val="none" w:sz="0" w:space="0" w:color="auto"/>
      </w:divBdr>
    </w:div>
    <w:div w:id="281771863">
      <w:bodyDiv w:val="1"/>
      <w:marLeft w:val="0"/>
      <w:marRight w:val="0"/>
      <w:marTop w:val="0"/>
      <w:marBottom w:val="0"/>
      <w:divBdr>
        <w:top w:val="none" w:sz="0" w:space="0" w:color="auto"/>
        <w:left w:val="none" w:sz="0" w:space="0" w:color="auto"/>
        <w:bottom w:val="none" w:sz="0" w:space="0" w:color="auto"/>
        <w:right w:val="none" w:sz="0" w:space="0" w:color="auto"/>
      </w:divBdr>
    </w:div>
    <w:div w:id="296224448">
      <w:bodyDiv w:val="1"/>
      <w:marLeft w:val="0"/>
      <w:marRight w:val="0"/>
      <w:marTop w:val="0"/>
      <w:marBottom w:val="0"/>
      <w:divBdr>
        <w:top w:val="none" w:sz="0" w:space="0" w:color="auto"/>
        <w:left w:val="none" w:sz="0" w:space="0" w:color="auto"/>
        <w:bottom w:val="none" w:sz="0" w:space="0" w:color="auto"/>
        <w:right w:val="none" w:sz="0" w:space="0" w:color="auto"/>
      </w:divBdr>
    </w:div>
    <w:div w:id="446237924">
      <w:bodyDiv w:val="1"/>
      <w:marLeft w:val="0"/>
      <w:marRight w:val="0"/>
      <w:marTop w:val="0"/>
      <w:marBottom w:val="0"/>
      <w:divBdr>
        <w:top w:val="none" w:sz="0" w:space="0" w:color="auto"/>
        <w:left w:val="none" w:sz="0" w:space="0" w:color="auto"/>
        <w:bottom w:val="none" w:sz="0" w:space="0" w:color="auto"/>
        <w:right w:val="none" w:sz="0" w:space="0" w:color="auto"/>
      </w:divBdr>
    </w:div>
    <w:div w:id="559555756">
      <w:bodyDiv w:val="1"/>
      <w:marLeft w:val="0"/>
      <w:marRight w:val="0"/>
      <w:marTop w:val="0"/>
      <w:marBottom w:val="0"/>
      <w:divBdr>
        <w:top w:val="none" w:sz="0" w:space="0" w:color="auto"/>
        <w:left w:val="none" w:sz="0" w:space="0" w:color="auto"/>
        <w:bottom w:val="none" w:sz="0" w:space="0" w:color="auto"/>
        <w:right w:val="none" w:sz="0" w:space="0" w:color="auto"/>
      </w:divBdr>
    </w:div>
    <w:div w:id="559752575">
      <w:bodyDiv w:val="1"/>
      <w:marLeft w:val="0"/>
      <w:marRight w:val="0"/>
      <w:marTop w:val="0"/>
      <w:marBottom w:val="0"/>
      <w:divBdr>
        <w:top w:val="none" w:sz="0" w:space="0" w:color="auto"/>
        <w:left w:val="none" w:sz="0" w:space="0" w:color="auto"/>
        <w:bottom w:val="none" w:sz="0" w:space="0" w:color="auto"/>
        <w:right w:val="none" w:sz="0" w:space="0" w:color="auto"/>
      </w:divBdr>
    </w:div>
    <w:div w:id="672609859">
      <w:bodyDiv w:val="1"/>
      <w:marLeft w:val="0"/>
      <w:marRight w:val="0"/>
      <w:marTop w:val="0"/>
      <w:marBottom w:val="0"/>
      <w:divBdr>
        <w:top w:val="none" w:sz="0" w:space="0" w:color="auto"/>
        <w:left w:val="none" w:sz="0" w:space="0" w:color="auto"/>
        <w:bottom w:val="none" w:sz="0" w:space="0" w:color="auto"/>
        <w:right w:val="none" w:sz="0" w:space="0" w:color="auto"/>
      </w:divBdr>
    </w:div>
    <w:div w:id="795872834">
      <w:bodyDiv w:val="1"/>
      <w:marLeft w:val="0"/>
      <w:marRight w:val="0"/>
      <w:marTop w:val="0"/>
      <w:marBottom w:val="0"/>
      <w:divBdr>
        <w:top w:val="none" w:sz="0" w:space="0" w:color="auto"/>
        <w:left w:val="none" w:sz="0" w:space="0" w:color="auto"/>
        <w:bottom w:val="none" w:sz="0" w:space="0" w:color="auto"/>
        <w:right w:val="none" w:sz="0" w:space="0" w:color="auto"/>
      </w:divBdr>
    </w:div>
    <w:div w:id="936409209">
      <w:bodyDiv w:val="1"/>
      <w:marLeft w:val="0"/>
      <w:marRight w:val="0"/>
      <w:marTop w:val="0"/>
      <w:marBottom w:val="0"/>
      <w:divBdr>
        <w:top w:val="none" w:sz="0" w:space="0" w:color="auto"/>
        <w:left w:val="none" w:sz="0" w:space="0" w:color="auto"/>
        <w:bottom w:val="none" w:sz="0" w:space="0" w:color="auto"/>
        <w:right w:val="none" w:sz="0" w:space="0" w:color="auto"/>
      </w:divBdr>
    </w:div>
    <w:div w:id="1226992340">
      <w:bodyDiv w:val="1"/>
      <w:marLeft w:val="0"/>
      <w:marRight w:val="0"/>
      <w:marTop w:val="0"/>
      <w:marBottom w:val="0"/>
      <w:divBdr>
        <w:top w:val="none" w:sz="0" w:space="0" w:color="auto"/>
        <w:left w:val="none" w:sz="0" w:space="0" w:color="auto"/>
        <w:bottom w:val="none" w:sz="0" w:space="0" w:color="auto"/>
        <w:right w:val="none" w:sz="0" w:space="0" w:color="auto"/>
      </w:divBdr>
    </w:div>
    <w:div w:id="1313800908">
      <w:bodyDiv w:val="1"/>
      <w:marLeft w:val="0"/>
      <w:marRight w:val="0"/>
      <w:marTop w:val="0"/>
      <w:marBottom w:val="0"/>
      <w:divBdr>
        <w:top w:val="none" w:sz="0" w:space="0" w:color="auto"/>
        <w:left w:val="none" w:sz="0" w:space="0" w:color="auto"/>
        <w:bottom w:val="none" w:sz="0" w:space="0" w:color="auto"/>
        <w:right w:val="none" w:sz="0" w:space="0" w:color="auto"/>
      </w:divBdr>
    </w:div>
    <w:div w:id="1383947966">
      <w:bodyDiv w:val="1"/>
      <w:marLeft w:val="0"/>
      <w:marRight w:val="0"/>
      <w:marTop w:val="0"/>
      <w:marBottom w:val="0"/>
      <w:divBdr>
        <w:top w:val="none" w:sz="0" w:space="0" w:color="auto"/>
        <w:left w:val="none" w:sz="0" w:space="0" w:color="auto"/>
        <w:bottom w:val="none" w:sz="0" w:space="0" w:color="auto"/>
        <w:right w:val="none" w:sz="0" w:space="0" w:color="auto"/>
      </w:divBdr>
    </w:div>
    <w:div w:id="1664090448">
      <w:bodyDiv w:val="1"/>
      <w:marLeft w:val="0"/>
      <w:marRight w:val="0"/>
      <w:marTop w:val="0"/>
      <w:marBottom w:val="0"/>
      <w:divBdr>
        <w:top w:val="none" w:sz="0" w:space="0" w:color="auto"/>
        <w:left w:val="none" w:sz="0" w:space="0" w:color="auto"/>
        <w:bottom w:val="none" w:sz="0" w:space="0" w:color="auto"/>
        <w:right w:val="none" w:sz="0" w:space="0" w:color="auto"/>
      </w:divBdr>
    </w:div>
    <w:div w:id="1699623716">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
    <w:div w:id="202716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ma.europa.eu/sites/default/files/library/esma35-36-1262_technical_qas_product_interventio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sma.europa.eu/sites/default/files/library/esma35-43-1000_additional_information_on_the_agreed_product_intervention_measures_relating_to_contracts_for_differences_and_binary_options.pdf" TargetMode="External"/><Relationship Id="rId5" Type="http://schemas.openxmlformats.org/officeDocument/2006/relationships/hyperlink" Target="https://www.bloomber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A47A-4EFF-4543-B150-B975C6D2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Kabakwu</dc:creator>
  <cp:keywords/>
  <dc:description/>
  <cp:lastModifiedBy>Alexander Kabakwu</cp:lastModifiedBy>
  <cp:revision>3</cp:revision>
  <dcterms:created xsi:type="dcterms:W3CDTF">2019-02-27T12:38:00Z</dcterms:created>
  <dcterms:modified xsi:type="dcterms:W3CDTF">2019-02-27T12:42:00Z</dcterms:modified>
</cp:coreProperties>
</file>